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Relação dos Licitantes e Contratados Sancionados</w:t>
      </w:r>
      <w:bookmarkEnd w:id="0"/>
    </w:p>
    <w:p>
      <w:pPr/>
      <w:r>
        <w:rPr/>
        <w:t xml:space="preserve">.</w:t>
      </w:r>
    </w:p>
    <w:p/>
    <w:p>
      <w:bookmarkStart w:id="1" w:name="_Toc1"/>
      <w:r>
        <w:t>Relação dos Licitantes e Contratados Sancionados</w:t>
      </w:r>
      <w:bookmarkEnd w:id="1"/>
    </w:p>
    <w:p>
      <w:pPr/>
      <w:r>
        <w:rPr>
          <w:b w:val="1"/>
          <w:bCs w:val="1"/>
        </w:rPr>
        <w:t xml:space="preserve">📄 Nos últimos 5 anos não há licitantes e/ou contratados sancionados.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2026-10-15T03:12:23-03:00</dcterms:created>
  <dcterms:modified xsi:type="dcterms:W3CDTF">2026-10-15T03:12:23-03:00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